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641"/>
        <w:gridCol w:w="1418"/>
        <w:gridCol w:w="1419"/>
        <w:gridCol w:w="1198"/>
        <w:gridCol w:w="1269"/>
      </w:tblGrid>
      <w:tr w:rsidR="00134F10">
        <w:trPr>
          <w:trHeight w:val="39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 w:rsidP="00A47575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  <w:lang w:bidi="ar"/>
              </w:rPr>
              <w:t>年部门整体支出绩效自评表</w:t>
            </w:r>
          </w:p>
        </w:tc>
      </w:tr>
      <w:tr w:rsidR="00134F10" w:rsidTr="00A1011F">
        <w:trPr>
          <w:trHeight w:val="567"/>
        </w:trPr>
        <w:tc>
          <w:tcPr>
            <w:tcW w:w="1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jc w:val="righ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134F10" w:rsidTr="00A47575">
        <w:trPr>
          <w:trHeight w:val="567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41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134F10" w:rsidTr="00A1011F">
        <w:trPr>
          <w:trHeight w:val="567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基本支出总额</w:t>
            </w:r>
          </w:p>
        </w:tc>
        <w:tc>
          <w:tcPr>
            <w:tcW w:w="1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BD6243" w:rsidP="00BD6243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 w:rsidR="001F25A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076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.8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项目支出总额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BD6243" w:rsidP="00BD6243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="001F25A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025</w:t>
            </w:r>
            <w:r w:rsidR="001F25A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134F10" w:rsidTr="00A1011F">
        <w:trPr>
          <w:trHeight w:val="567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Style w:val="font101"/>
                <w:rFonts w:eastAsiaTheme="minorEastAsia"/>
                <w:lang w:bidi="ar"/>
              </w:rPr>
              <w:t xml:space="preserve">    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（</w:t>
            </w:r>
            <w:r>
              <w:rPr>
                <w:rStyle w:val="font101"/>
                <w:rFonts w:eastAsiaTheme="minorEastAsia"/>
                <w:lang w:bidi="ar"/>
              </w:rPr>
              <w:t>20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Style w:val="font101"/>
                <w:rFonts w:eastAsiaTheme="minorEastAsia"/>
                <w:lang w:bidi="ar"/>
              </w:rPr>
              <w:t>A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Style w:val="font101"/>
                <w:rFonts w:eastAsiaTheme="minorEastAsia"/>
                <w:lang w:bidi="ar"/>
              </w:rPr>
              <w:t>B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Style w:val="font101"/>
                <w:rFonts w:eastAsiaTheme="minorEastAsia"/>
                <w:lang w:bidi="ar"/>
              </w:rPr>
              <w:t>B/A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134F10" w:rsidTr="00A1011F">
        <w:trPr>
          <w:trHeight w:val="567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部门整体支出总额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636B5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52077.82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636B5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46036.19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62D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88.39</w:t>
            </w:r>
            <w:r w:rsidR="001F25A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 w:rsidP="001362D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17.</w:t>
            </w:r>
            <w:r w:rsidR="001362D9"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134F10" w:rsidTr="00A1011F">
        <w:trPr>
          <w:trHeight w:val="567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指标名称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年初目标值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134F10" w:rsidTr="00A47575">
        <w:trPr>
          <w:trHeight w:val="567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目标</w:t>
            </w:r>
            <w:r>
              <w:rPr>
                <w:rStyle w:val="font101"/>
                <w:rFonts w:eastAsiaTheme="minorEastAsia"/>
                <w:lang w:bidi="ar"/>
              </w:rPr>
              <w:t>1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：</w:t>
            </w:r>
          </w:p>
        </w:tc>
        <w:tc>
          <w:tcPr>
            <w:tcW w:w="41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加强公务用车配备使用管理，减少公车费用开支，保障公务用车安全、便利出行。</w:t>
            </w:r>
          </w:p>
        </w:tc>
      </w:tr>
      <w:tr w:rsidR="00134F10" w:rsidTr="00A1011F">
        <w:trPr>
          <w:trHeight w:val="652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全省公车管理会议次数（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次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次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公务用车审批超编率（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01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公务用车行车安全率（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Style w:val="font101"/>
                <w:rFonts w:eastAsiaTheme="minorEastAsia"/>
                <w:lang w:bidi="ar"/>
              </w:rPr>
              <w:t>90%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67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公务租车出车准时率（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Style w:val="font101"/>
                <w:rFonts w:eastAsiaTheme="minorEastAsia"/>
                <w:lang w:bidi="ar"/>
              </w:rPr>
              <w:t>95%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641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公务租车使用满意度（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Style w:val="font101"/>
                <w:rFonts w:eastAsiaTheme="minorEastAsia"/>
                <w:lang w:bidi="ar"/>
              </w:rPr>
              <w:t>90%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96%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47575">
        <w:trPr>
          <w:trHeight w:val="620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目标</w:t>
            </w:r>
            <w:r>
              <w:rPr>
                <w:rStyle w:val="font101"/>
                <w:rFonts w:eastAsiaTheme="minorEastAsia"/>
                <w:lang w:bidi="ar"/>
              </w:rPr>
              <w:t>2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：</w:t>
            </w:r>
          </w:p>
        </w:tc>
        <w:tc>
          <w:tcPr>
            <w:tcW w:w="41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加强和规范全省党政机关办公用房管理，推进办公用房统一权属登记、统一规划建设、统一调配处置、统一维修改造的管理机制。</w:t>
            </w:r>
          </w:p>
        </w:tc>
      </w:tr>
      <w:tr w:rsidR="00134F10" w:rsidTr="00A1011F">
        <w:trPr>
          <w:trHeight w:val="543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全省办公用房巡检考核（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709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省直机关办公用房调配回复率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72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省直党政机关办公用房腾退移交收回率</w:t>
            </w:r>
          </w:p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523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自建基建工程验收通过率</w:t>
            </w:r>
          </w:p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47575">
        <w:trPr>
          <w:trHeight w:val="495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目标</w:t>
            </w:r>
            <w:r>
              <w:rPr>
                <w:rStyle w:val="font101"/>
                <w:rFonts w:eastAsiaTheme="minorEastAsia"/>
                <w:lang w:bidi="ar"/>
              </w:rPr>
              <w:t>3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：</w:t>
            </w:r>
          </w:p>
        </w:tc>
        <w:tc>
          <w:tcPr>
            <w:tcW w:w="41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扎实开展公共机构节能工作，完成年度节能规划，开展节能节水示范单位创建工作，确保创建质量和效果。</w:t>
            </w:r>
          </w:p>
        </w:tc>
      </w:tr>
      <w:tr w:rsidR="00134F10" w:rsidTr="00A1011F">
        <w:trPr>
          <w:trHeight w:val="544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节能宣传培训次数（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67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年度节能规划完成率（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9"/>
        </w:trPr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宣传培训满意度（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92%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47575">
        <w:trPr>
          <w:trHeight w:val="567"/>
        </w:trPr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目标</w:t>
            </w:r>
            <w:r>
              <w:rPr>
                <w:rStyle w:val="font101"/>
                <w:rFonts w:eastAsiaTheme="minorEastAsia"/>
                <w:lang w:bidi="ar"/>
              </w:rPr>
              <w:t>4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：</w:t>
            </w:r>
          </w:p>
        </w:tc>
        <w:tc>
          <w:tcPr>
            <w:tcW w:w="41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推动管理体系和管理能力向现代化迈进，进一步提升后勤保障服务能力。</w:t>
            </w:r>
          </w:p>
        </w:tc>
      </w:tr>
      <w:tr w:rsidR="00134F10" w:rsidTr="00A1011F">
        <w:trPr>
          <w:trHeight w:val="960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与武大机关事务管理研究中心合作研究课题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91"/>
                <w:rFonts w:ascii="Times New Roman" w:eastAsiaTheme="minorEastAsia" w:hAnsi="Times New Roman" w:cs="Times New Roman" w:hint="default"/>
                <w:lang w:bidi="ar"/>
              </w:rPr>
              <w:t>个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服务幼儿人数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3900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4156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水果湖地区供暖天数（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  <w:r>
              <w:rPr>
                <w:rStyle w:val="font91"/>
                <w:rFonts w:ascii="Times New Roman" w:eastAsiaTheme="minorEastAsia" w:hAnsi="Times New Roman" w:cs="Times New Roman" w:hint="default"/>
                <w:lang w:bidi="ar"/>
              </w:rPr>
              <w:t>天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食堂服务天数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  <w:r>
              <w:rPr>
                <w:rStyle w:val="font91"/>
                <w:rFonts w:ascii="Times New Roman" w:eastAsiaTheme="minorEastAsia" w:hAnsi="Times New Roman" w:cs="Times New Roman" w:hint="default"/>
                <w:lang w:bidi="ar"/>
              </w:rPr>
              <w:t>天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72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Style w:val="font101"/>
                <w:rFonts w:eastAsiaTheme="minorEastAsia"/>
                <w:lang w:bidi="ar"/>
              </w:rPr>
              <w:t>12</w:t>
            </w:r>
            <w:r>
              <w:rPr>
                <w:rStyle w:val="font91"/>
                <w:rFonts w:ascii="Times New Roman" w:eastAsiaTheme="minorEastAsia" w:hAnsi="Times New Roman" w:cs="Times New Roman" w:hint="default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幼儿园安全责任事故发生率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72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水果湖地区集中供暖室内温度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度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度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48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食堂综治检查合格率（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134F10" w:rsidTr="00A1011F">
        <w:trPr>
          <w:trHeight w:val="504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会务保障满意度（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34F10" w:rsidTr="00A1011F">
        <w:trPr>
          <w:trHeight w:val="720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34F10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水果湖自管物业服务平均满意度（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大于等于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134F10" w:rsidTr="00A1011F">
        <w:trPr>
          <w:trHeight w:val="567"/>
        </w:trPr>
        <w:tc>
          <w:tcPr>
            <w:tcW w:w="42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 w:rsidP="004A374F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97.</w:t>
            </w:r>
            <w:r w:rsidR="004A374F">
              <w:rPr>
                <w:rFonts w:ascii="Times New Roman" w:eastAsiaTheme="minorEastAsia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</w:tr>
      <w:tr w:rsidR="00134F10">
        <w:trPr>
          <w:trHeight w:val="28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4F10" w:rsidRDefault="001F25AD">
            <w:pPr>
              <w:widowControl/>
              <w:textAlignment w:val="center"/>
              <w:rPr>
                <w:rStyle w:val="font101"/>
                <w:rFonts w:eastAsiaTheme="minorEastAsia"/>
                <w:lang w:bidi="ar"/>
              </w:rPr>
            </w:pPr>
            <w:r>
              <w:rPr>
                <w:rStyle w:val="font61"/>
                <w:rFonts w:ascii="Times New Roman" w:eastAsiaTheme="minorEastAsia" w:hAnsi="Times New Roman" w:cs="Times New Roman" w:hint="eastAsia"/>
                <w:lang w:bidi="ar"/>
              </w:rPr>
              <w:t>1.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Style w:val="font101"/>
                <w:rFonts w:eastAsiaTheme="minorEastAsia"/>
                <w:lang w:bidi="ar"/>
              </w:rPr>
              <w:t xml:space="preserve"> </w:t>
            </w:r>
          </w:p>
          <w:p w:rsidR="00134F10" w:rsidRDefault="001F25AD">
            <w:pPr>
              <w:widowControl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Theme="minorEastAsia"/>
                <w:lang w:bidi="ar"/>
              </w:rPr>
              <w:t>2.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定量指标完成数汇总原则：绝对值直接累加计算，相对值按照资金额度加权平均计算。定量指</w:t>
            </w:r>
            <w:r>
              <w:rPr>
                <w:rStyle w:val="font101"/>
                <w:rFonts w:eastAsiaTheme="minorEastAsia"/>
                <w:lang w:bidi="ar"/>
              </w:rPr>
              <w:t xml:space="preserve"> 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标计分原则：正向指标（即目标值为</w:t>
            </w:r>
            <w:r>
              <w:rPr>
                <w:rStyle w:val="font101"/>
                <w:rFonts w:eastAsiaTheme="minorEastAsia"/>
                <w:lang w:bidi="ar"/>
              </w:rPr>
              <w:t>≥X,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得分</w:t>
            </w:r>
            <w:r>
              <w:rPr>
                <w:rStyle w:val="font101"/>
                <w:rFonts w:eastAsiaTheme="minorEastAsia"/>
                <w:lang w:bidi="ar"/>
              </w:rPr>
              <w:t>=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权重</w:t>
            </w:r>
            <w:r>
              <w:rPr>
                <w:rStyle w:val="font101"/>
                <w:rFonts w:eastAsiaTheme="minorEastAsia"/>
                <w:lang w:bidi="ar"/>
              </w:rPr>
              <w:t>*B/A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），反向指标（即目标值为</w:t>
            </w:r>
            <w:r>
              <w:rPr>
                <w:rStyle w:val="font101"/>
                <w:rFonts w:eastAsiaTheme="minorEastAsia"/>
                <w:lang w:bidi="ar"/>
              </w:rPr>
              <w:t>≤X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，得分</w:t>
            </w:r>
            <w:r>
              <w:rPr>
                <w:rStyle w:val="font101"/>
                <w:rFonts w:eastAsiaTheme="minorEastAsia"/>
                <w:lang w:bidi="ar"/>
              </w:rPr>
              <w:t xml:space="preserve">= 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权重</w:t>
            </w:r>
            <w:r>
              <w:rPr>
                <w:rStyle w:val="font101"/>
                <w:rFonts w:eastAsiaTheme="minorEastAsia"/>
                <w:lang w:bidi="ar"/>
              </w:rPr>
              <w:t>*A/B)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，得分不得突破权重总额。定量指标先汇总完成数，再计算得分。</w:t>
            </w:r>
          </w:p>
          <w:p w:rsidR="00134F10" w:rsidRDefault="001F25AD">
            <w:pPr>
              <w:widowControl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Theme="minorEastAsia"/>
                <w:lang w:bidi="ar"/>
              </w:rPr>
              <w:t>3.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定性指标计分原则：达成预期指标、部分达成预期指标并具有一定效果、未达成预期指标且效</w:t>
            </w:r>
            <w:r>
              <w:rPr>
                <w:rStyle w:val="font101"/>
                <w:rFonts w:eastAsiaTheme="minorEastAsia"/>
                <w:lang w:bidi="ar"/>
              </w:rPr>
              <w:t xml:space="preserve"> 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果较差三档，分别按照该指标对应分值区间</w:t>
            </w:r>
            <w:r>
              <w:rPr>
                <w:rStyle w:val="font101"/>
                <w:rFonts w:eastAsiaTheme="minorEastAsia"/>
                <w:lang w:bidi="ar"/>
              </w:rPr>
              <w:t xml:space="preserve"> 100-80%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（含</w:t>
            </w:r>
            <w:r>
              <w:rPr>
                <w:rStyle w:val="font101"/>
                <w:rFonts w:eastAsiaTheme="minorEastAsia"/>
                <w:lang w:bidi="ar"/>
              </w:rPr>
              <w:t xml:space="preserve"> 80%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）、</w:t>
            </w:r>
            <w:r>
              <w:rPr>
                <w:rStyle w:val="font101"/>
                <w:rFonts w:eastAsiaTheme="minorEastAsia"/>
                <w:lang w:bidi="ar"/>
              </w:rPr>
              <w:t>80-50%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（含</w:t>
            </w:r>
            <w:r>
              <w:rPr>
                <w:rStyle w:val="font101"/>
                <w:rFonts w:eastAsiaTheme="minorEastAsia"/>
                <w:lang w:bidi="ar"/>
              </w:rPr>
              <w:t xml:space="preserve"> 50%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）、</w:t>
            </w:r>
            <w:r>
              <w:rPr>
                <w:rStyle w:val="font101"/>
                <w:rFonts w:eastAsiaTheme="minorEastAsia"/>
                <w:lang w:bidi="ar"/>
              </w:rPr>
              <w:t>50-0%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合理</w:t>
            </w:r>
            <w:r>
              <w:rPr>
                <w:rStyle w:val="font101"/>
                <w:rFonts w:eastAsiaTheme="minorEastAsia"/>
                <w:lang w:bidi="ar"/>
              </w:rPr>
              <w:t xml:space="preserve"> 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确定分值。汇总时，以资金额度为权重，对分值进行加权平均计算。</w:t>
            </w:r>
          </w:p>
          <w:p w:rsidR="00134F10" w:rsidRDefault="001F25AD">
            <w:pPr>
              <w:widowControl/>
              <w:textAlignment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Theme="minorEastAsia"/>
                <w:lang w:bidi="ar"/>
              </w:rPr>
              <w:t>4.</w:t>
            </w:r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作为必评指标</w:t>
            </w:r>
            <w:proofErr w:type="gramEnd"/>
            <w:r>
              <w:rPr>
                <w:rStyle w:val="font61"/>
                <w:rFonts w:ascii="Times New Roman" w:eastAsiaTheme="minorEastAsia" w:hAnsi="Times New Roman" w:cs="Times New Roman"/>
                <w:lang w:bidi="ar"/>
              </w:rPr>
              <w:t>。约束性指标以负数记分。</w:t>
            </w:r>
          </w:p>
        </w:tc>
      </w:tr>
    </w:tbl>
    <w:p w:rsidR="00134F10" w:rsidRDefault="00134F10">
      <w:pPr>
        <w:rPr>
          <w:rFonts w:ascii="Times New Roman" w:eastAsia="黑体" w:hAnsi="Times New Roman"/>
          <w:sz w:val="30"/>
          <w:szCs w:val="30"/>
        </w:rPr>
      </w:pPr>
    </w:p>
    <w:sectPr w:rsidR="00134F10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F9" w:rsidRDefault="009035F9">
      <w:r>
        <w:separator/>
      </w:r>
    </w:p>
  </w:endnote>
  <w:endnote w:type="continuationSeparator" w:id="0">
    <w:p w:rsidR="009035F9" w:rsidRDefault="0090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10" w:rsidRDefault="001F25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F10" w:rsidRDefault="001F25AD">
                          <w:pPr>
                            <w:pStyle w:val="a4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1011F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4F10" w:rsidRDefault="001F25AD">
                    <w:pPr>
                      <w:pStyle w:val="a4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A1011F">
                      <w:rPr>
                        <w:rFonts w:ascii="Times New Roman" w:hAnsi="Times New Roman"/>
                        <w:noProof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F9" w:rsidRDefault="009035F9">
      <w:r>
        <w:separator/>
      </w:r>
    </w:p>
  </w:footnote>
  <w:footnote w:type="continuationSeparator" w:id="0">
    <w:p w:rsidR="009035F9" w:rsidRDefault="0090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F0787"/>
    <w:rsid w:val="00134F10"/>
    <w:rsid w:val="001362D9"/>
    <w:rsid w:val="00153AE6"/>
    <w:rsid w:val="001F25AD"/>
    <w:rsid w:val="0047268F"/>
    <w:rsid w:val="004A374F"/>
    <w:rsid w:val="00636B5D"/>
    <w:rsid w:val="009035F9"/>
    <w:rsid w:val="00A1011F"/>
    <w:rsid w:val="00A47575"/>
    <w:rsid w:val="00BD6243"/>
    <w:rsid w:val="07CF4176"/>
    <w:rsid w:val="08841A48"/>
    <w:rsid w:val="0990763F"/>
    <w:rsid w:val="0A8A620D"/>
    <w:rsid w:val="0AA3381B"/>
    <w:rsid w:val="0AEE5BE7"/>
    <w:rsid w:val="0B0A3D4E"/>
    <w:rsid w:val="0D8469A5"/>
    <w:rsid w:val="0DCE7C67"/>
    <w:rsid w:val="0DD4311C"/>
    <w:rsid w:val="0E967C0B"/>
    <w:rsid w:val="115F6EDC"/>
    <w:rsid w:val="116F191B"/>
    <w:rsid w:val="14604736"/>
    <w:rsid w:val="15B25773"/>
    <w:rsid w:val="16737EC9"/>
    <w:rsid w:val="168A66D2"/>
    <w:rsid w:val="179C531D"/>
    <w:rsid w:val="17A663F5"/>
    <w:rsid w:val="19075AF8"/>
    <w:rsid w:val="20D5044E"/>
    <w:rsid w:val="227D348C"/>
    <w:rsid w:val="24E525B6"/>
    <w:rsid w:val="258F0787"/>
    <w:rsid w:val="2D8B06E2"/>
    <w:rsid w:val="2F98766C"/>
    <w:rsid w:val="30066E6D"/>
    <w:rsid w:val="313C3CE5"/>
    <w:rsid w:val="320A4600"/>
    <w:rsid w:val="32C43016"/>
    <w:rsid w:val="34280C6C"/>
    <w:rsid w:val="3ACF7D58"/>
    <w:rsid w:val="3F4A1637"/>
    <w:rsid w:val="440B30BB"/>
    <w:rsid w:val="4A837EAC"/>
    <w:rsid w:val="4B661F8E"/>
    <w:rsid w:val="4BD91F13"/>
    <w:rsid w:val="4DB2448A"/>
    <w:rsid w:val="4DC57B98"/>
    <w:rsid w:val="4F8F1125"/>
    <w:rsid w:val="53C42725"/>
    <w:rsid w:val="55C913A1"/>
    <w:rsid w:val="58280552"/>
    <w:rsid w:val="60010C1B"/>
    <w:rsid w:val="62EF63AD"/>
    <w:rsid w:val="64BC701B"/>
    <w:rsid w:val="66554812"/>
    <w:rsid w:val="680E2109"/>
    <w:rsid w:val="696141C2"/>
    <w:rsid w:val="69BF6C78"/>
    <w:rsid w:val="6A85337C"/>
    <w:rsid w:val="70583159"/>
    <w:rsid w:val="727B7086"/>
    <w:rsid w:val="735A2A27"/>
    <w:rsid w:val="738D3F73"/>
    <w:rsid w:val="740C2826"/>
    <w:rsid w:val="7464723E"/>
    <w:rsid w:val="753F358C"/>
    <w:rsid w:val="7A1537EE"/>
    <w:rsid w:val="7B060E33"/>
    <w:rsid w:val="7C7E34B5"/>
    <w:rsid w:val="7E0A14F4"/>
    <w:rsid w:val="7E5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LeoShieldsword</dc:creator>
  <cp:lastModifiedBy>seaeyes</cp:lastModifiedBy>
  <cp:revision>9</cp:revision>
  <dcterms:created xsi:type="dcterms:W3CDTF">2020-04-13T15:02:00Z</dcterms:created>
  <dcterms:modified xsi:type="dcterms:W3CDTF">2020-08-25T10:08:00Z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