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方正黑体简体" w:hAnsi="方正黑体简体" w:eastAsia="方正黑体简体" w:cs="方正黑体简体"/>
          <w:bCs/>
          <w:sz w:val="32"/>
          <w:szCs w:val="32"/>
        </w:rPr>
      </w:pPr>
      <w:r>
        <w:rPr>
          <w:rFonts w:hint="eastAsia" w:ascii="方正黑体简体" w:hAnsi="方正黑体简体" w:eastAsia="方正黑体简体" w:cs="方正黑体简体"/>
          <w:bCs/>
          <w:sz w:val="32"/>
          <w:szCs w:val="32"/>
        </w:rPr>
        <w:t>附件2</w:t>
      </w:r>
    </w:p>
    <w:p>
      <w:pPr>
        <w:jc w:val="center"/>
        <w:rPr>
          <w:rFonts w:ascii="方正小标宋简体" w:eastAsia="方正小标宋简体"/>
          <w:bCs/>
          <w:sz w:val="40"/>
          <w:szCs w:val="40"/>
        </w:rPr>
      </w:pPr>
      <w:r>
        <w:rPr>
          <w:rFonts w:hint="eastAsia" w:ascii="方正小标宋简体" w:eastAsia="方正小标宋简体"/>
          <w:bCs/>
          <w:sz w:val="40"/>
          <w:szCs w:val="40"/>
        </w:rPr>
        <w:t>湖北省创建节约型机关评分表</w:t>
      </w:r>
    </w:p>
    <w:p>
      <w:pPr>
        <w:jc w:val="center"/>
        <w:rPr>
          <w:sz w:val="24"/>
          <w:szCs w:val="24"/>
        </w:rPr>
      </w:pPr>
    </w:p>
    <w:tbl>
      <w:tblPr>
        <w:tblStyle w:val="6"/>
        <w:tblW w:w="1350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0"/>
        <w:gridCol w:w="1420"/>
        <w:gridCol w:w="1420"/>
        <w:gridCol w:w="7368"/>
        <w:gridCol w:w="1191"/>
        <w:gridCol w:w="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序号</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单元</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评价指标</w:t>
            </w:r>
          </w:p>
        </w:tc>
        <w:tc>
          <w:tcPr>
            <w:tcW w:w="7368"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评价规则</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方正黑体简体" w:hAnsi="方正黑体简体" w:eastAsia="方正黑体简体" w:cs="方正黑体简体"/>
                <w:sz w:val="24"/>
                <w:szCs w:val="24"/>
              </w:rPr>
            </w:p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方正黑体简体" w:hAnsi="方正黑体简体" w:eastAsia="方正黑体简体" w:cs="方正黑体简体"/>
                <w:sz w:val="24"/>
                <w:szCs w:val="24"/>
              </w:rPr>
            </w:p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简体" w:hAnsi="方正黑体简体" w:eastAsia="方正黑体简体" w:cs="方正黑体简体"/>
                <w:sz w:val="24"/>
                <w:szCs w:val="24"/>
              </w:rPr>
            </w:pPr>
          </w:p>
        </w:tc>
        <w:tc>
          <w:tcPr>
            <w:tcW w:w="736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方正黑体简体" w:hAnsi="方正黑体简体" w:eastAsia="方正黑体简体" w:cs="方正黑体简体"/>
                <w:sz w:val="24"/>
                <w:szCs w:val="24"/>
              </w:rPr>
            </w:pPr>
          </w:p>
        </w:tc>
        <w:tc>
          <w:tcPr>
            <w:tcW w:w="119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分值</w:t>
            </w:r>
          </w:p>
        </w:tc>
        <w:tc>
          <w:tcPr>
            <w:tcW w:w="935" w:type="dxa"/>
            <w:tcBorders>
              <w:top w:val="single" w:color="000000" w:sz="4" w:space="0"/>
              <w:left w:val="single" w:color="000000" w:sz="4" w:space="0"/>
              <w:bottom w:val="single" w:color="000000" w:sz="4" w:space="0"/>
              <w:right w:val="single" w:color="000000" w:sz="4" w:space="0"/>
            </w:tcBorders>
          </w:tcPr>
          <w:p>
            <w:pPr>
              <w:spacing w:line="300" w:lineRule="exact"/>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自评</w:t>
            </w:r>
          </w:p>
          <w:p>
            <w:pPr>
              <w:spacing w:line="300" w:lineRule="exact"/>
              <w:jc w:val="center"/>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70" w:type="dxa"/>
            <w:tcBorders>
              <w:top w:val="single" w:color="000000" w:sz="4" w:space="0"/>
              <w:left w:val="single" w:color="000000" w:sz="4" w:space="0"/>
              <w:bottom w:val="single" w:color="000000" w:sz="4" w:space="0"/>
              <w:right w:val="single" w:color="000000" w:sz="4" w:space="0"/>
            </w:tcBorders>
            <w:vAlign w:val="center"/>
          </w:tcPr>
          <w:p>
            <w:pPr>
              <w:jc w:val="center"/>
            </w:pPr>
            <w:r>
              <w:t>1</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rPr>
            </w:pPr>
            <w:r>
              <w:rPr>
                <w:rFonts w:hint="eastAsia" w:ascii="宋体" w:hAnsi="宋体" w:cs="宋体"/>
              </w:rPr>
              <w:t>强化目标</w:t>
            </w:r>
            <w:bookmarkStart w:id="0" w:name="_GoBack"/>
            <w:bookmarkEnd w:id="0"/>
          </w:p>
          <w:p>
            <w:pPr>
              <w:jc w:val="center"/>
              <w:rPr>
                <w:rFonts w:hint="eastAsia" w:ascii="宋体" w:hAnsi="宋体" w:cs="宋体"/>
              </w:rPr>
            </w:pPr>
            <w:r>
              <w:rPr>
                <w:rFonts w:hint="eastAsia" w:ascii="宋体" w:hAnsi="宋体" w:cs="宋体"/>
              </w:rPr>
              <w:t>管理</w:t>
            </w:r>
          </w:p>
          <w:p>
            <w:pPr>
              <w:jc w:val="center"/>
            </w:pPr>
            <w:r>
              <w:rPr>
                <w:rFonts w:hint="eastAsia" w:ascii="宋体" w:hAnsi="宋体" w:cs="宋体"/>
              </w:rPr>
              <w:t>（</w:t>
            </w:r>
            <w:r>
              <w:t>10</w:t>
            </w:r>
            <w:r>
              <w:rPr>
                <w:rFonts w:hint="eastAsia" w:ascii="宋体" w:hAnsi="宋体" w:cs="宋体"/>
              </w:rPr>
              <w:t>分）</w:t>
            </w:r>
          </w:p>
        </w:tc>
        <w:tc>
          <w:tcPr>
            <w:tcW w:w="14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pPr>
            <w:r>
              <w:rPr>
                <w:rFonts w:hint="eastAsia" w:ascii="宋体" w:hAnsi="宋体" w:cs="宋体"/>
              </w:rPr>
              <w:t>节约能源资源目标管理（</w:t>
            </w:r>
            <w:r>
              <w:t>10</w:t>
            </w:r>
            <w:r>
              <w:rPr>
                <w:rFonts w:hint="eastAsia" w:ascii="宋体" w:hAnsi="宋体"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rPr>
            </w:pPr>
            <w:r>
              <w:rPr>
                <w:rFonts w:hint="eastAsia" w:ascii="宋体" w:hAnsi="宋体" w:cs="宋体"/>
                <w:color w:val="000000" w:themeColor="text1"/>
              </w:rPr>
              <w:t>【</w:t>
            </w:r>
            <w:r>
              <w:rPr>
                <w:rFonts w:hint="eastAsia" w:ascii="宋体" w:hAnsi="宋体" w:cs="宋体"/>
                <w:b/>
                <w:color w:val="000000" w:themeColor="text1"/>
              </w:rPr>
              <w:t>必须完成项</w:t>
            </w:r>
            <w:r>
              <w:rPr>
                <w:rFonts w:hint="eastAsia" w:ascii="宋体" w:hAnsi="宋体" w:cs="宋体"/>
                <w:color w:val="000000" w:themeColor="text1"/>
              </w:rPr>
              <w:t>】各级党政机关需完成本级公共机构节能管理部门制定的能源资源消费指标任务。</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w:t>
            </w:r>
            <w:r>
              <w:t>0</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t>2</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rPr>
            </w:pPr>
            <w:r>
              <w:rPr>
                <w:rFonts w:hint="eastAsia" w:ascii="宋体" w:hAnsi="宋体" w:cs="宋体"/>
              </w:rPr>
              <w:t>完善制度</w:t>
            </w:r>
          </w:p>
          <w:p>
            <w:pPr>
              <w:jc w:val="center"/>
              <w:rPr>
                <w:rFonts w:hint="eastAsia" w:ascii="宋体" w:hAnsi="宋体" w:cs="宋体"/>
              </w:rPr>
            </w:pPr>
            <w:r>
              <w:rPr>
                <w:rFonts w:hint="eastAsia" w:ascii="宋体" w:hAnsi="宋体" w:cs="宋体"/>
              </w:rPr>
              <w:t>体系</w:t>
            </w:r>
          </w:p>
          <w:p>
            <w:pPr>
              <w:jc w:val="center"/>
            </w:pPr>
            <w:r>
              <w:rPr>
                <w:rFonts w:hint="eastAsia" w:ascii="宋体" w:hAnsi="宋体" w:cs="宋体"/>
              </w:rPr>
              <w:t>（20分）</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rPr>
            </w:pPr>
            <w:r>
              <w:rPr>
                <w:rFonts w:hint="eastAsia" w:ascii="宋体" w:hAnsi="宋体" w:cs="宋体"/>
              </w:rPr>
              <w:t>管理机构</w:t>
            </w:r>
          </w:p>
          <w:p>
            <w:pPr>
              <w:jc w:val="center"/>
            </w:pPr>
            <w:r>
              <w:rPr>
                <w:rFonts w:hint="eastAsia" w:ascii="宋体" w:hAnsi="宋体" w:cs="宋体"/>
              </w:rPr>
              <w:t>（6分）</w:t>
            </w: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color w:val="000000" w:themeColor="text1"/>
              </w:rPr>
            </w:pPr>
            <w:r>
              <w:rPr>
                <w:rFonts w:hint="eastAsia" w:ascii="宋体" w:hAnsi="宋体" w:cs="宋体"/>
                <w:color w:val="000000" w:themeColor="text1"/>
              </w:rPr>
              <w:t>1.由单位领导班子成员负责节约型机关创建工作并专题研究，得2分。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color w:val="000000" w:themeColor="text1"/>
              </w:rPr>
            </w:pPr>
            <w:r>
              <w:rPr>
                <w:rFonts w:hint="eastAsia" w:ascii="宋体" w:hAnsi="宋体" w:cs="宋体"/>
                <w:color w:val="000000" w:themeColor="text1"/>
              </w:rPr>
              <w:t>2.明确负责节约能源资源工作的管理机构和工作职责，得2分。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color w:val="000000" w:themeColor="text1"/>
              </w:rPr>
            </w:pPr>
            <w:r>
              <w:rPr>
                <w:rFonts w:hint="eastAsia" w:ascii="宋体" w:hAnsi="宋体" w:cs="宋体"/>
                <w:color w:val="000000" w:themeColor="text1"/>
              </w:rPr>
              <w:t>3.设置能源资源管理岗位，明确专人负责，得2分。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管理制度</w:t>
            </w:r>
          </w:p>
          <w:p>
            <w:pPr>
              <w:jc w:val="center"/>
            </w:pPr>
            <w:r>
              <w:rPr>
                <w:rFonts w:hint="eastAsia" w:cs="宋体"/>
              </w:rPr>
              <w:t>（</w:t>
            </w:r>
            <w:r>
              <w:t>1</w:t>
            </w:r>
            <w:r>
              <w:rPr>
                <w:rFonts w:hint="eastAsia"/>
              </w:rPr>
              <w:t>4</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textAlignment w:val="auto"/>
              <w:outlineLvl w:val="9"/>
              <w:rPr>
                <w:rFonts w:ascii="宋体" w:hAnsi="宋体" w:cs="宋体"/>
                <w:color w:val="000000" w:themeColor="text1"/>
              </w:rPr>
            </w:pPr>
            <w:r>
              <w:rPr>
                <w:rFonts w:hint="eastAsia" w:ascii="宋体" w:hAnsi="宋体" w:cs="宋体"/>
                <w:color w:val="000000" w:themeColor="text1"/>
              </w:rPr>
              <w:t>1.有明确的节约能源资源实施方案以及目标，得2分。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ind w:left="210" w:hanging="210" w:hangingChars="100"/>
              <w:rPr>
                <w:rFonts w:ascii="宋体" w:hAnsi="宋体" w:cs="宋体"/>
                <w:color w:val="000000" w:themeColor="text1"/>
              </w:rPr>
            </w:pPr>
            <w:r>
              <w:rPr>
                <w:rFonts w:hint="eastAsia" w:ascii="宋体" w:hAnsi="宋体" w:cs="宋体"/>
                <w:color w:val="000000" w:themeColor="text1"/>
              </w:rPr>
              <w:t>2.有用能用水定额管理、垃圾分类、绿色消费及用能设施节能操作规程等有关节约能源资源的管理制度和标准，1项得1分，最高得5分。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ind w:left="210" w:hanging="210" w:hangingChars="100"/>
              <w:rPr>
                <w:rFonts w:ascii="宋体" w:hAnsi="宋体" w:cs="宋体"/>
                <w:color w:val="000000" w:themeColor="text1"/>
              </w:rPr>
            </w:pPr>
            <w:r>
              <w:rPr>
                <w:rFonts w:hint="eastAsia" w:ascii="宋体" w:hAnsi="宋体" w:cs="宋体"/>
                <w:color w:val="000000" w:themeColor="text1"/>
              </w:rPr>
              <w:t>3.有明确的规章制度或合同约定能对物业管理提出能源资源节约的管理目标和服务要求，得2分。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ascii="宋体" w:hAnsi="宋体" w:cs="宋体"/>
                <w:color w:val="000000" w:themeColor="text1"/>
              </w:rPr>
            </w:pPr>
            <w:r>
              <w:rPr>
                <w:rFonts w:hint="eastAsia" w:ascii="宋体" w:hAnsi="宋体" w:cs="宋体"/>
                <w:color w:val="000000" w:themeColor="text1"/>
              </w:rPr>
              <w:t>4.建立能源资源计量器具台账，实行能源资源分户、分区、分项计量，得2分。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ascii="宋体" w:hAnsi="宋体" w:cs="宋体"/>
                <w:color w:val="000000" w:themeColor="text1"/>
              </w:rPr>
            </w:pPr>
            <w:r>
              <w:rPr>
                <w:rFonts w:hint="eastAsia" w:ascii="宋体" w:hAnsi="宋体" w:cs="宋体"/>
                <w:color w:val="000000" w:themeColor="text1"/>
              </w:rPr>
              <w:t>5.建立能源资源消费统计台账，并定期上报统计报表，得2分。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ascii="宋体" w:hAnsi="宋体" w:cs="宋体"/>
                <w:color w:val="000000" w:themeColor="text1"/>
              </w:rPr>
            </w:pPr>
            <w:r>
              <w:rPr>
                <w:rFonts w:hint="eastAsia" w:ascii="宋体" w:hAnsi="宋体" w:cs="宋体"/>
                <w:color w:val="000000" w:themeColor="text1"/>
              </w:rPr>
              <w:t>6.将创建节约型机关相关工作纳入单位考核体系，并开展监督检查，得1分。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jc w:val="center"/>
        </w:trPr>
        <w:tc>
          <w:tcPr>
            <w:tcW w:w="1170" w:type="dxa"/>
            <w:vMerge w:val="restart"/>
            <w:tcBorders>
              <w:top w:val="single" w:color="000000" w:sz="4" w:space="0"/>
              <w:left w:val="single" w:color="000000" w:sz="4" w:space="0"/>
              <w:right w:val="single" w:color="000000" w:sz="4" w:space="0"/>
            </w:tcBorders>
            <w:vAlign w:val="center"/>
          </w:tcPr>
          <w:p>
            <w:pPr>
              <w:jc w:val="center"/>
            </w:pPr>
            <w:r>
              <w:rPr>
                <w:rFonts w:hint="eastAsia" w:ascii="黑体" w:hAnsi="黑体" w:eastAsia="黑体" w:cs="宋体"/>
                <w:sz w:val="24"/>
                <w:szCs w:val="24"/>
              </w:rPr>
              <w:t>序号</w:t>
            </w:r>
          </w:p>
        </w:tc>
        <w:tc>
          <w:tcPr>
            <w:tcW w:w="1420" w:type="dxa"/>
            <w:vMerge w:val="restart"/>
            <w:tcBorders>
              <w:top w:val="single" w:color="000000" w:sz="4" w:space="0"/>
              <w:left w:val="single" w:color="000000" w:sz="4" w:space="0"/>
              <w:right w:val="single" w:color="000000" w:sz="4" w:space="0"/>
            </w:tcBorders>
            <w:vAlign w:val="center"/>
          </w:tcPr>
          <w:p>
            <w:pPr>
              <w:jc w:val="center"/>
            </w:pPr>
            <w:r>
              <w:rPr>
                <w:rFonts w:hint="eastAsia" w:ascii="黑体" w:hAnsi="黑体" w:eastAsia="黑体" w:cs="宋体"/>
                <w:sz w:val="24"/>
                <w:szCs w:val="24"/>
              </w:rPr>
              <w:t>单元</w:t>
            </w:r>
          </w:p>
        </w:tc>
        <w:tc>
          <w:tcPr>
            <w:tcW w:w="1420" w:type="dxa"/>
            <w:vMerge w:val="restart"/>
            <w:tcBorders>
              <w:top w:val="single" w:color="000000" w:sz="4" w:space="0"/>
              <w:left w:val="single" w:color="000000" w:sz="4" w:space="0"/>
              <w:right w:val="single" w:color="000000" w:sz="4" w:space="0"/>
            </w:tcBorders>
            <w:vAlign w:val="center"/>
          </w:tcPr>
          <w:p>
            <w:pPr>
              <w:jc w:val="center"/>
            </w:pPr>
            <w:r>
              <w:rPr>
                <w:rFonts w:hint="eastAsia" w:ascii="黑体" w:hAnsi="黑体" w:eastAsia="黑体" w:cs="宋体"/>
                <w:sz w:val="24"/>
                <w:szCs w:val="24"/>
              </w:rPr>
              <w:t>评价指标</w:t>
            </w:r>
          </w:p>
        </w:tc>
        <w:tc>
          <w:tcPr>
            <w:tcW w:w="7368" w:type="dxa"/>
            <w:vMerge w:val="restart"/>
            <w:tcBorders>
              <w:top w:val="single" w:color="000000" w:sz="4" w:space="0"/>
              <w:left w:val="single" w:color="000000" w:sz="4" w:space="0"/>
              <w:right w:val="single" w:color="000000" w:sz="4" w:space="0"/>
            </w:tcBorders>
            <w:vAlign w:val="center"/>
          </w:tcPr>
          <w:p>
            <w:pPr>
              <w:spacing w:line="300" w:lineRule="exact"/>
              <w:jc w:val="center"/>
              <w:rPr>
                <w:rFonts w:hint="eastAsia" w:ascii="宋体" w:hAnsi="宋体" w:cs="宋体"/>
                <w:color w:val="000000" w:themeColor="text1"/>
              </w:rPr>
            </w:pPr>
            <w:r>
              <w:rPr>
                <w:rFonts w:hint="eastAsia" w:ascii="黑体" w:hAnsi="黑体" w:eastAsia="黑体" w:cs="宋体"/>
                <w:sz w:val="24"/>
                <w:szCs w:val="24"/>
              </w:rPr>
              <w:t>评价规则</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黑体" w:hAnsi="黑体" w:eastAsia="黑体" w:cs="宋体"/>
                <w:sz w:val="24"/>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jc w:val="center"/>
        </w:trPr>
        <w:tc>
          <w:tcPr>
            <w:tcW w:w="1170" w:type="dxa"/>
            <w:vMerge w:val="continue"/>
            <w:tcBorders>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pPr>
              <w:jc w:val="center"/>
            </w:pPr>
          </w:p>
        </w:tc>
        <w:tc>
          <w:tcPr>
            <w:tcW w:w="736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hint="eastAsia" w:ascii="宋体" w:hAnsi="宋体" w:cs="宋体"/>
                <w:color w:val="000000" w:themeColor="text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rPr>
            </w:pPr>
            <w:r>
              <w:rPr>
                <w:rFonts w:hint="eastAsia" w:ascii="黑体" w:hAnsi="黑体" w:eastAsia="黑体" w:cs="宋体"/>
                <w:sz w:val="24"/>
                <w:szCs w:val="24"/>
              </w:rPr>
              <w:t>分值</w:t>
            </w:r>
          </w:p>
        </w:tc>
        <w:tc>
          <w:tcPr>
            <w:tcW w:w="935" w:type="dxa"/>
            <w:tcBorders>
              <w:top w:val="single" w:color="000000" w:sz="4" w:space="0"/>
              <w:left w:val="single" w:color="000000" w:sz="4" w:space="0"/>
              <w:bottom w:val="single" w:color="000000" w:sz="4" w:space="0"/>
              <w:right w:val="single" w:color="000000" w:sz="4" w:space="0"/>
            </w:tcBorders>
            <w:vAlign w:val="top"/>
          </w:tcPr>
          <w:p>
            <w:pPr>
              <w:spacing w:line="300" w:lineRule="exact"/>
              <w:jc w:val="center"/>
              <w:rPr>
                <w:rFonts w:ascii="黑体" w:hAnsi="黑体" w:eastAsia="黑体" w:cs="宋体"/>
                <w:sz w:val="24"/>
                <w:szCs w:val="24"/>
              </w:rPr>
            </w:pPr>
            <w:r>
              <w:rPr>
                <w:rFonts w:hint="eastAsia" w:ascii="黑体" w:hAnsi="黑体" w:eastAsia="黑体" w:cs="宋体"/>
                <w:sz w:val="24"/>
                <w:szCs w:val="24"/>
              </w:rPr>
              <w:t>自评</w:t>
            </w:r>
          </w:p>
          <w:p>
            <w:pPr>
              <w:spacing w:line="300" w:lineRule="exact"/>
              <w:jc w:val="center"/>
            </w:pPr>
            <w:r>
              <w:rPr>
                <w:rFonts w:hint="eastAsia" w:ascii="黑体" w:hAnsi="黑体" w:eastAsia="黑体" w:cs="宋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8"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t>3</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rPr>
            </w:pPr>
            <w:r>
              <w:rPr>
                <w:rFonts w:hint="eastAsia" w:ascii="宋体" w:hAnsi="宋体" w:cs="宋体"/>
              </w:rPr>
              <w:t>推进绿色</w:t>
            </w:r>
          </w:p>
          <w:p>
            <w:pPr>
              <w:jc w:val="center"/>
              <w:rPr>
                <w:rFonts w:hint="eastAsia" w:ascii="宋体" w:hAnsi="宋体" w:cs="宋体"/>
              </w:rPr>
            </w:pPr>
            <w:r>
              <w:rPr>
                <w:rFonts w:hint="eastAsia" w:ascii="宋体" w:hAnsi="宋体" w:cs="宋体"/>
              </w:rPr>
              <w:t>办公</w:t>
            </w:r>
          </w:p>
          <w:p>
            <w:pPr>
              <w:jc w:val="center"/>
              <w:rPr>
                <w:rFonts w:ascii="宋体" w:hAnsi="宋体" w:cs="宋体"/>
              </w:rPr>
            </w:pPr>
            <w:r>
              <w:rPr>
                <w:rFonts w:hint="eastAsia" w:ascii="宋体" w:hAnsi="宋体" w:cs="宋体"/>
              </w:rPr>
              <w:t>（30分）</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行为节约</w:t>
            </w:r>
          </w:p>
          <w:p>
            <w:pPr>
              <w:jc w:val="center"/>
            </w:pPr>
            <w:r>
              <w:rPr>
                <w:rFonts w:hint="eastAsia" w:cs="宋体"/>
              </w:rPr>
              <w:t>（</w:t>
            </w:r>
            <w:r>
              <w:rPr>
                <w:rFonts w:hint="eastAsia"/>
              </w:rPr>
              <w:t>20</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rPr>
            </w:pPr>
            <w:r>
              <w:rPr>
                <w:rFonts w:hint="eastAsia" w:ascii="宋体" w:hAnsi="宋体" w:cs="宋体"/>
                <w:color w:val="000000" w:themeColor="text1"/>
              </w:rPr>
              <w:t>1.节约用材：</w:t>
            </w:r>
          </w:p>
          <w:p>
            <w:pPr>
              <w:rPr>
                <w:rFonts w:ascii="宋体" w:hAnsi="宋体" w:cs="宋体"/>
                <w:color w:val="000000" w:themeColor="text1"/>
              </w:rPr>
            </w:pPr>
            <w:r>
              <w:rPr>
                <w:rFonts w:hint="eastAsia" w:ascii="宋体" w:hAnsi="宋体" w:cs="宋体"/>
                <w:color w:val="000000" w:themeColor="text1"/>
                <w:lang w:eastAsia="zh-CN"/>
              </w:rPr>
              <w:t>（</w:t>
            </w:r>
            <w:r>
              <w:rPr>
                <w:rFonts w:hint="eastAsia" w:ascii="宋体" w:hAnsi="宋体" w:cs="宋体"/>
                <w:color w:val="000000" w:themeColor="text1"/>
              </w:rPr>
              <w:t>1)推进无纸化办公，使用办公自动化系统，采取节约纸张措施，得2分。</w:t>
            </w:r>
          </w:p>
          <w:p>
            <w:pPr>
              <w:rPr>
                <w:rFonts w:ascii="宋体" w:hAnsi="宋体" w:cs="宋体"/>
                <w:color w:val="000000" w:themeColor="text1"/>
              </w:rPr>
            </w:pPr>
            <w:r>
              <w:rPr>
                <w:rFonts w:hint="eastAsia" w:ascii="宋体" w:hAnsi="宋体" w:cs="宋体"/>
                <w:color w:val="000000" w:themeColor="text1"/>
                <w:lang w:eastAsia="zh-CN"/>
              </w:rPr>
              <w:t>（</w:t>
            </w:r>
            <w:r>
              <w:rPr>
                <w:rFonts w:hint="eastAsia" w:ascii="宋体" w:hAnsi="宋体" w:cs="宋体"/>
                <w:color w:val="000000" w:themeColor="text1"/>
              </w:rPr>
              <w:t>2)使用再生纸、再生耗材等循环办公用品，得2分。</w:t>
            </w:r>
          </w:p>
          <w:p>
            <w:pPr>
              <w:rPr>
                <w:rFonts w:ascii="宋体" w:hAnsi="宋体" w:cs="宋体"/>
                <w:color w:val="000000" w:themeColor="text1"/>
              </w:rPr>
            </w:pPr>
            <w:r>
              <w:rPr>
                <w:rFonts w:hint="eastAsia" w:ascii="宋体" w:hAnsi="宋体" w:cs="宋体"/>
                <w:color w:val="000000" w:themeColor="text1"/>
                <w:lang w:eastAsia="zh-CN"/>
              </w:rPr>
              <w:t>（</w:t>
            </w:r>
            <w:r>
              <w:rPr>
                <w:rFonts w:hint="eastAsia" w:ascii="宋体" w:hAnsi="宋体" w:cs="宋体"/>
                <w:color w:val="000000" w:themeColor="text1"/>
              </w:rPr>
              <w:t>3)限制使用一次性办公用品，得2分。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6</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rPr>
            </w:pPr>
            <w:r>
              <w:rPr>
                <w:rFonts w:hint="eastAsia" w:ascii="宋体" w:hAnsi="宋体" w:cs="宋体"/>
                <w:color w:val="000000" w:themeColor="text1"/>
              </w:rPr>
              <w:t>2.节约用水：</w:t>
            </w:r>
          </w:p>
          <w:p>
            <w:pPr>
              <w:rPr>
                <w:rFonts w:ascii="宋体" w:hAnsi="宋体" w:cs="宋体"/>
                <w:color w:val="000000" w:themeColor="text1"/>
              </w:rPr>
            </w:pPr>
            <w:r>
              <w:rPr>
                <w:rFonts w:hint="eastAsia" w:ascii="宋体" w:hAnsi="宋体" w:cs="宋体"/>
                <w:color w:val="000000" w:themeColor="text1"/>
              </w:rPr>
              <w:t>（1）获得公共机构节水型示范单位，得3分。</w:t>
            </w:r>
          </w:p>
          <w:p>
            <w:pPr>
              <w:rPr>
                <w:rFonts w:ascii="宋体" w:hAnsi="宋体" w:cs="宋体"/>
                <w:color w:val="000000" w:themeColor="text1"/>
              </w:rPr>
            </w:pPr>
            <w:r>
              <w:rPr>
                <w:rFonts w:hint="eastAsia" w:ascii="宋体" w:hAnsi="宋体" w:cs="宋体"/>
                <w:color w:val="000000" w:themeColor="text1"/>
              </w:rPr>
              <w:t>（2）使用节水型器具,得2分。</w:t>
            </w:r>
          </w:p>
          <w:p>
            <w:pPr>
              <w:rPr>
                <w:rFonts w:ascii="宋体" w:hAnsi="宋体" w:cs="宋体"/>
                <w:color w:val="000000" w:themeColor="text1"/>
              </w:rPr>
            </w:pPr>
            <w:r>
              <w:rPr>
                <w:rFonts w:hint="eastAsia" w:ascii="宋体" w:hAnsi="宋体" w:cs="宋体"/>
                <w:color w:val="000000" w:themeColor="text1"/>
              </w:rPr>
              <w:t>（3）采取有效可循的节水管理措施，得2分。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7</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2"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right w:val="single" w:color="000000" w:sz="4" w:space="0"/>
            </w:tcBorders>
            <w:vAlign w:val="center"/>
          </w:tcPr>
          <w:p>
            <w:pPr>
              <w:rPr>
                <w:rFonts w:ascii="宋体" w:hAnsi="宋体" w:cs="宋体"/>
                <w:color w:val="000000" w:themeColor="text1"/>
              </w:rPr>
            </w:pPr>
            <w:r>
              <w:rPr>
                <w:rFonts w:hint="eastAsia" w:ascii="宋体" w:hAnsi="宋体" w:cs="宋体"/>
                <w:color w:val="000000" w:themeColor="text1"/>
              </w:rPr>
              <w:t>3.节约用能：</w:t>
            </w:r>
          </w:p>
          <w:p>
            <w:pPr>
              <w:keepNext w:val="0"/>
              <w:keepLines w:val="0"/>
              <w:pageBreakBefore w:val="0"/>
              <w:widowControl w:val="0"/>
              <w:kinsoku/>
              <w:wordWrap/>
              <w:overflowPunct/>
              <w:topLinePunct w:val="0"/>
              <w:autoSpaceDE/>
              <w:autoSpaceDN/>
              <w:bidi w:val="0"/>
              <w:adjustRightInd/>
              <w:snapToGrid/>
              <w:spacing w:line="300" w:lineRule="exact"/>
              <w:ind w:left="525" w:hanging="525" w:hangingChars="250"/>
              <w:textAlignment w:val="auto"/>
              <w:outlineLvl w:val="9"/>
              <w:rPr>
                <w:rFonts w:ascii="宋体" w:hAnsi="宋体" w:cs="宋体"/>
                <w:color w:val="000000" w:themeColor="text1"/>
              </w:rPr>
            </w:pPr>
            <w:r>
              <w:rPr>
                <w:rFonts w:hint="eastAsia" w:ascii="宋体" w:hAnsi="宋体" w:cs="宋体"/>
                <w:color w:val="000000" w:themeColor="text1"/>
              </w:rPr>
              <w:t>（1）严格执行夏季室内空调温度设置不低于26摄氏度，冬季室内空调设置不高于20摄氏度的空调温度控制标准，得2分。</w:t>
            </w:r>
          </w:p>
          <w:p>
            <w:pPr>
              <w:spacing w:line="300" w:lineRule="exact"/>
              <w:rPr>
                <w:rFonts w:ascii="宋体" w:hAnsi="宋体" w:cs="宋体"/>
                <w:color w:val="000000" w:themeColor="text1"/>
              </w:rPr>
            </w:pPr>
            <w:r>
              <w:rPr>
                <w:rFonts w:hint="eastAsia" w:ascii="宋体" w:hAnsi="宋体" w:cs="宋体"/>
                <w:color w:val="000000" w:themeColor="text1"/>
              </w:rPr>
              <w:t>（2）充分利用自然采光，得1分。</w:t>
            </w:r>
          </w:p>
          <w:p>
            <w:pPr>
              <w:spacing w:line="300" w:lineRule="exact"/>
              <w:rPr>
                <w:rFonts w:ascii="宋体" w:hAnsi="宋体" w:cs="宋体"/>
                <w:color w:val="000000" w:themeColor="text1"/>
              </w:rPr>
            </w:pPr>
            <w:r>
              <w:rPr>
                <w:rFonts w:hint="eastAsia" w:ascii="宋体" w:hAnsi="宋体" w:cs="宋体"/>
                <w:color w:val="000000" w:themeColor="text1"/>
              </w:rPr>
              <w:t>（3）实现高效照明光源使用率100%，得2分。</w:t>
            </w:r>
          </w:p>
          <w:p>
            <w:pPr>
              <w:spacing w:line="300" w:lineRule="exact"/>
              <w:rPr>
                <w:rFonts w:ascii="宋体" w:hAnsi="宋体" w:cs="宋体"/>
                <w:color w:val="000000" w:themeColor="text1"/>
              </w:rPr>
            </w:pPr>
            <w:r>
              <w:rPr>
                <w:rFonts w:hint="eastAsia" w:ascii="宋体" w:hAnsi="宋体" w:cs="宋体"/>
                <w:color w:val="000000" w:themeColor="text1"/>
              </w:rPr>
              <w:t>（4）合理设置电梯开启数量和时间，3层楼以下（含3层）不开电梯，得2分。</w:t>
            </w:r>
          </w:p>
        </w:tc>
        <w:tc>
          <w:tcPr>
            <w:tcW w:w="1191" w:type="dxa"/>
            <w:tcBorders>
              <w:top w:val="single" w:color="000000" w:sz="4" w:space="0"/>
              <w:left w:val="single" w:color="000000" w:sz="4" w:space="0"/>
              <w:right w:val="single" w:color="000000" w:sz="4" w:space="0"/>
            </w:tcBorders>
            <w:vAlign w:val="center"/>
          </w:tcPr>
          <w:p>
            <w:pPr>
              <w:jc w:val="center"/>
            </w:pPr>
            <w:r>
              <w:rPr>
                <w:rFonts w:hint="eastAsia"/>
              </w:rPr>
              <w:t>7</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restart"/>
            <w:tcBorders>
              <w:top w:val="single" w:color="000000" w:sz="4" w:space="0"/>
              <w:left w:val="single" w:color="000000" w:sz="4" w:space="0"/>
              <w:right w:val="single" w:color="000000" w:sz="4" w:space="0"/>
            </w:tcBorders>
            <w:vAlign w:val="center"/>
          </w:tcPr>
          <w:p>
            <w:pPr>
              <w:jc w:val="center"/>
              <w:rPr>
                <w:rFonts w:cs="宋体"/>
              </w:rPr>
            </w:pPr>
            <w:r>
              <w:rPr>
                <w:rFonts w:hint="eastAsia" w:cs="宋体"/>
              </w:rPr>
              <w:t>绿色出行</w:t>
            </w:r>
          </w:p>
          <w:p>
            <w:pPr>
              <w:jc w:val="center"/>
            </w:pPr>
            <w:r>
              <w:rPr>
                <w:rFonts w:hint="eastAsia" w:cs="宋体"/>
              </w:rPr>
              <w:t>（</w:t>
            </w:r>
            <w:r>
              <w:rPr>
                <w:rFonts w:hint="eastAsia"/>
              </w:rPr>
              <w:t>6</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ascii="宋体" w:hAnsi="宋体" w:cs="宋体"/>
                <w:color w:val="000000" w:themeColor="text1"/>
              </w:rPr>
            </w:pPr>
            <w:r>
              <w:rPr>
                <w:rFonts w:hint="eastAsia" w:ascii="宋体" w:hAnsi="宋体" w:cs="宋体"/>
                <w:color w:val="000000" w:themeColor="text1"/>
              </w:rPr>
              <w:t>1.规范公务用车使用管理，实行单车能耗核算，建立统计台账，得2分。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ascii="宋体" w:hAnsi="宋体" w:cs="宋体"/>
                <w:color w:val="000000" w:themeColor="text1"/>
              </w:rPr>
            </w:pPr>
            <w:r>
              <w:rPr>
                <w:rFonts w:hint="eastAsia" w:ascii="宋体" w:hAnsi="宋体" w:cs="宋体"/>
                <w:color w:val="000000" w:themeColor="text1"/>
              </w:rPr>
              <w:t>2.鼓励干部职工践行“135”等低碳出行方式，得2分。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ind w:left="210" w:hanging="210" w:hangingChars="100"/>
              <w:rPr>
                <w:rFonts w:ascii="宋体" w:hAnsi="宋体" w:cs="宋体"/>
                <w:color w:val="000000" w:themeColor="text1"/>
              </w:rPr>
            </w:pPr>
            <w:r>
              <w:rPr>
                <w:rFonts w:hint="eastAsia" w:ascii="宋体" w:hAnsi="宋体" w:cs="宋体"/>
                <w:color w:val="000000" w:themeColor="text1"/>
              </w:rPr>
              <w:t>3.新建或既有停车场规划建设配备充电基础设施（或预留建设安装条件）的，得2分。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绿色采购</w:t>
            </w:r>
          </w:p>
          <w:p>
            <w:pPr>
              <w:jc w:val="center"/>
            </w:pPr>
            <w:r>
              <w:rPr>
                <w:rFonts w:hint="eastAsia" w:cs="宋体"/>
              </w:rPr>
              <w:t>（</w:t>
            </w:r>
            <w:r>
              <w:t>4</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ind w:left="210" w:hanging="210" w:hangingChars="100"/>
              <w:rPr>
                <w:rFonts w:ascii="宋体" w:hAnsi="宋体" w:cs="宋体"/>
                <w:color w:val="000000" w:themeColor="text1"/>
              </w:rPr>
            </w:pPr>
            <w:r>
              <w:rPr>
                <w:rFonts w:hint="eastAsia" w:ascii="宋体" w:hAnsi="宋体" w:cs="宋体"/>
                <w:color w:val="000000" w:themeColor="text1"/>
              </w:rPr>
              <w:t>1.加大绿色采购力度，采购更多的节能、节水、环保、再生、资源综合利用等绿色产品，得2分。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ascii="宋体" w:hAnsi="宋体" w:cs="宋体"/>
                <w:color w:val="000000" w:themeColor="text1"/>
              </w:rPr>
            </w:pPr>
            <w:r>
              <w:rPr>
                <w:rFonts w:hint="eastAsia" w:ascii="宋体" w:hAnsi="宋体" w:cs="宋体"/>
                <w:color w:val="000000" w:themeColor="text1"/>
              </w:rPr>
              <w:t>2.更新公务用车优先采购新能源汽车，得2分。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jc w:val="center"/>
        </w:trPr>
        <w:tc>
          <w:tcPr>
            <w:tcW w:w="1170" w:type="dxa"/>
            <w:vMerge w:val="restart"/>
            <w:tcBorders>
              <w:top w:val="single" w:color="000000" w:sz="4" w:space="0"/>
              <w:left w:val="single" w:color="000000" w:sz="4" w:space="0"/>
              <w:right w:val="single" w:color="000000" w:sz="4" w:space="0"/>
            </w:tcBorders>
            <w:vAlign w:val="center"/>
          </w:tcPr>
          <w:p>
            <w:pPr>
              <w:jc w:val="center"/>
            </w:pPr>
            <w:r>
              <w:rPr>
                <w:rFonts w:hint="eastAsia" w:ascii="黑体" w:hAnsi="黑体" w:eastAsia="黑体" w:cs="宋体"/>
                <w:sz w:val="24"/>
                <w:szCs w:val="24"/>
              </w:rPr>
              <w:t>序号</w:t>
            </w:r>
          </w:p>
        </w:tc>
        <w:tc>
          <w:tcPr>
            <w:tcW w:w="1420" w:type="dxa"/>
            <w:vMerge w:val="restart"/>
            <w:tcBorders>
              <w:top w:val="single" w:color="000000" w:sz="4" w:space="0"/>
              <w:left w:val="single" w:color="000000" w:sz="4" w:space="0"/>
              <w:right w:val="single" w:color="000000" w:sz="4" w:space="0"/>
            </w:tcBorders>
            <w:vAlign w:val="center"/>
          </w:tcPr>
          <w:p>
            <w:pPr>
              <w:jc w:val="center"/>
            </w:pPr>
            <w:r>
              <w:rPr>
                <w:rFonts w:hint="eastAsia" w:ascii="黑体" w:hAnsi="黑体" w:eastAsia="黑体" w:cs="宋体"/>
                <w:sz w:val="24"/>
                <w:szCs w:val="24"/>
              </w:rPr>
              <w:t>单元</w:t>
            </w:r>
          </w:p>
        </w:tc>
        <w:tc>
          <w:tcPr>
            <w:tcW w:w="1420" w:type="dxa"/>
            <w:vMerge w:val="restart"/>
            <w:tcBorders>
              <w:top w:val="single" w:color="000000" w:sz="4" w:space="0"/>
              <w:left w:val="single" w:color="000000" w:sz="4" w:space="0"/>
              <w:right w:val="single" w:color="000000" w:sz="4" w:space="0"/>
            </w:tcBorders>
            <w:vAlign w:val="center"/>
          </w:tcPr>
          <w:p>
            <w:pPr>
              <w:jc w:val="center"/>
            </w:pPr>
            <w:r>
              <w:rPr>
                <w:rFonts w:hint="eastAsia" w:ascii="黑体" w:hAnsi="黑体" w:eastAsia="黑体" w:cs="宋体"/>
                <w:sz w:val="24"/>
                <w:szCs w:val="24"/>
              </w:rPr>
              <w:t>评价指标</w:t>
            </w:r>
          </w:p>
        </w:tc>
        <w:tc>
          <w:tcPr>
            <w:tcW w:w="7368" w:type="dxa"/>
            <w:vMerge w:val="restart"/>
            <w:tcBorders>
              <w:top w:val="single" w:color="000000" w:sz="4" w:space="0"/>
              <w:left w:val="single" w:color="000000" w:sz="4" w:space="0"/>
              <w:right w:val="single" w:color="000000" w:sz="4" w:space="0"/>
            </w:tcBorders>
            <w:vAlign w:val="center"/>
          </w:tcPr>
          <w:p>
            <w:pPr>
              <w:spacing w:line="300" w:lineRule="exact"/>
              <w:jc w:val="center"/>
              <w:rPr>
                <w:rFonts w:hint="eastAsia" w:ascii="宋体" w:hAnsi="宋体" w:cs="宋体"/>
                <w:color w:val="000000" w:themeColor="text1"/>
              </w:rPr>
            </w:pPr>
            <w:r>
              <w:rPr>
                <w:rFonts w:hint="eastAsia" w:ascii="黑体" w:hAnsi="黑体" w:eastAsia="黑体" w:cs="宋体"/>
                <w:sz w:val="24"/>
                <w:szCs w:val="24"/>
              </w:rPr>
              <w:t>评价规则</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黑体" w:hAnsi="黑体" w:eastAsia="黑体" w:cs="宋体"/>
                <w:sz w:val="24"/>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1170" w:type="dxa"/>
            <w:vMerge w:val="continue"/>
            <w:tcBorders>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pPr>
              <w:jc w:val="center"/>
            </w:pPr>
          </w:p>
        </w:tc>
        <w:tc>
          <w:tcPr>
            <w:tcW w:w="736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110" w:beforeLines="35" w:after="110" w:afterLines="35"/>
              <w:textAlignment w:val="auto"/>
              <w:outlineLvl w:val="9"/>
              <w:rPr>
                <w:rFonts w:hint="eastAsia" w:ascii="宋体" w:hAnsi="宋体" w:cs="宋体"/>
                <w:color w:val="000000" w:themeColor="text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color w:val="000000" w:themeColor="text1"/>
              </w:rPr>
            </w:pPr>
            <w:r>
              <w:rPr>
                <w:rFonts w:hint="eastAsia" w:ascii="黑体" w:hAnsi="黑体" w:eastAsia="黑体" w:cs="宋体"/>
                <w:sz w:val="24"/>
                <w:szCs w:val="24"/>
              </w:rPr>
              <w:t>分值</w:t>
            </w:r>
          </w:p>
        </w:tc>
        <w:tc>
          <w:tcPr>
            <w:tcW w:w="935" w:type="dxa"/>
            <w:tcBorders>
              <w:top w:val="single" w:color="000000" w:sz="4" w:space="0"/>
              <w:left w:val="single" w:color="000000" w:sz="4" w:space="0"/>
              <w:bottom w:val="single" w:color="000000" w:sz="4" w:space="0"/>
              <w:right w:val="single" w:color="000000" w:sz="4" w:space="0"/>
            </w:tcBorders>
            <w:vAlign w:val="top"/>
          </w:tcPr>
          <w:p>
            <w:pPr>
              <w:spacing w:line="300" w:lineRule="exact"/>
              <w:jc w:val="center"/>
              <w:rPr>
                <w:rFonts w:ascii="黑体" w:hAnsi="黑体" w:eastAsia="黑体" w:cs="宋体"/>
                <w:sz w:val="24"/>
                <w:szCs w:val="24"/>
              </w:rPr>
            </w:pPr>
            <w:r>
              <w:rPr>
                <w:rFonts w:hint="eastAsia" w:ascii="黑体" w:hAnsi="黑体" w:eastAsia="黑体" w:cs="宋体"/>
                <w:sz w:val="24"/>
                <w:szCs w:val="24"/>
              </w:rPr>
              <w:t>自评</w:t>
            </w:r>
          </w:p>
          <w:p>
            <w:pPr>
              <w:spacing w:line="300" w:lineRule="exact"/>
              <w:jc w:val="center"/>
            </w:pPr>
            <w:r>
              <w:rPr>
                <w:rFonts w:hint="eastAsia" w:ascii="黑体" w:hAnsi="黑体" w:eastAsia="黑体" w:cs="宋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1170" w:type="dxa"/>
            <w:vMerge w:val="restart"/>
            <w:tcBorders>
              <w:top w:val="single" w:color="000000" w:sz="4" w:space="0"/>
              <w:left w:val="single" w:color="000000" w:sz="4" w:space="0"/>
              <w:right w:val="single" w:color="000000" w:sz="4" w:space="0"/>
            </w:tcBorders>
            <w:vAlign w:val="center"/>
          </w:tcPr>
          <w:p>
            <w:pPr>
              <w:jc w:val="center"/>
            </w:pPr>
            <w:r>
              <w:t>4</w:t>
            </w:r>
          </w:p>
        </w:tc>
        <w:tc>
          <w:tcPr>
            <w:tcW w:w="1420"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cs="宋体"/>
              </w:rPr>
            </w:pPr>
            <w:r>
              <w:rPr>
                <w:rFonts w:hint="eastAsia" w:ascii="宋体" w:hAnsi="宋体" w:cs="宋体"/>
              </w:rPr>
              <w:t>实行生活</w:t>
            </w:r>
          </w:p>
          <w:p>
            <w:pPr>
              <w:jc w:val="center"/>
              <w:rPr>
                <w:rFonts w:hint="eastAsia" w:ascii="宋体" w:hAnsi="宋体" w:cs="宋体"/>
              </w:rPr>
            </w:pPr>
            <w:r>
              <w:rPr>
                <w:rFonts w:hint="eastAsia" w:ascii="宋体" w:hAnsi="宋体" w:cs="宋体"/>
              </w:rPr>
              <w:t>垃圾分类</w:t>
            </w:r>
          </w:p>
          <w:p>
            <w:pPr>
              <w:jc w:val="center"/>
            </w:pPr>
            <w:r>
              <w:rPr>
                <w:rFonts w:hint="eastAsia" w:ascii="宋体" w:hAnsi="宋体" w:cs="宋体"/>
              </w:rPr>
              <w:t>（25分）</w:t>
            </w:r>
          </w:p>
        </w:tc>
        <w:tc>
          <w:tcPr>
            <w:tcW w:w="1420" w:type="dxa"/>
            <w:vMerge w:val="restart"/>
            <w:tcBorders>
              <w:top w:val="single" w:color="000000" w:sz="4" w:space="0"/>
              <w:left w:val="single" w:color="000000" w:sz="4" w:space="0"/>
              <w:right w:val="single" w:color="000000" w:sz="4" w:space="0"/>
            </w:tcBorders>
            <w:vAlign w:val="center"/>
          </w:tcPr>
          <w:p>
            <w:pPr>
              <w:jc w:val="center"/>
              <w:rPr>
                <w:rFonts w:ascii="宋体" w:hAnsi="宋体" w:cs="宋体"/>
              </w:rPr>
            </w:pPr>
            <w:r>
              <w:rPr>
                <w:rFonts w:hint="eastAsia" w:ascii="宋体" w:hAnsi="宋体" w:cs="宋体"/>
              </w:rPr>
              <w:t>源头减量</w:t>
            </w:r>
          </w:p>
          <w:p>
            <w:pPr>
              <w:jc w:val="center"/>
              <w:rPr>
                <w:rFonts w:ascii="宋体" w:hAnsi="宋体" w:cs="宋体"/>
              </w:rPr>
            </w:pPr>
            <w:r>
              <w:rPr>
                <w:rFonts w:hint="eastAsia" w:ascii="宋体" w:hAnsi="宋体" w:cs="宋体"/>
              </w:rPr>
              <w:t>（4分）</w:t>
            </w: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color w:val="000000" w:themeColor="text1"/>
              </w:rPr>
            </w:pPr>
            <w:r>
              <w:rPr>
                <w:rFonts w:hint="eastAsia" w:ascii="宋体" w:hAnsi="宋体" w:cs="宋体"/>
                <w:color w:val="000000" w:themeColor="text1"/>
              </w:rPr>
              <w:t>1.采取节约粮食等措施，开展“光盘行动”等活动，得2分。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1170" w:type="dxa"/>
            <w:vMerge w:val="continue"/>
            <w:tcBorders>
              <w:top w:val="single" w:color="000000" w:sz="4" w:space="0"/>
              <w:left w:val="single" w:color="000000" w:sz="4" w:space="0"/>
              <w:right w:val="single" w:color="000000" w:sz="4" w:space="0"/>
            </w:tcBorders>
            <w:vAlign w:val="center"/>
          </w:tcPr>
          <w:p>
            <w:pPr>
              <w:jc w:val="center"/>
            </w:pPr>
          </w:p>
        </w:tc>
        <w:tc>
          <w:tcPr>
            <w:tcW w:w="1420"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rPr>
            </w:pPr>
          </w:p>
        </w:tc>
        <w:tc>
          <w:tcPr>
            <w:tcW w:w="1420"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rP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color w:val="000000" w:themeColor="text1"/>
              </w:rPr>
            </w:pPr>
            <w:r>
              <w:rPr>
                <w:rFonts w:hint="eastAsia" w:ascii="宋体" w:hAnsi="宋体" w:cs="宋体"/>
                <w:color w:val="000000" w:themeColor="text1"/>
              </w:rPr>
              <w:t>2.停止使用不可降解一次性塑料制品，得2分。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1170" w:type="dxa"/>
            <w:vMerge w:val="continue"/>
            <w:tcBorders>
              <w:top w:val="single" w:color="000000" w:sz="4" w:space="0"/>
              <w:left w:val="single" w:color="000000" w:sz="4" w:space="0"/>
              <w:right w:val="single" w:color="000000" w:sz="4" w:space="0"/>
            </w:tcBorders>
            <w:vAlign w:val="center"/>
          </w:tcPr>
          <w:p>
            <w:pPr>
              <w:jc w:val="center"/>
            </w:pPr>
          </w:p>
        </w:tc>
        <w:tc>
          <w:tcPr>
            <w:tcW w:w="1420"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rPr>
            </w:pPr>
          </w:p>
        </w:tc>
        <w:tc>
          <w:tcPr>
            <w:tcW w:w="1420" w:type="dxa"/>
            <w:vMerge w:val="restart"/>
            <w:tcBorders>
              <w:left w:val="single" w:color="000000" w:sz="4" w:space="0"/>
              <w:right w:val="single" w:color="000000" w:sz="4" w:space="0"/>
            </w:tcBorders>
            <w:vAlign w:val="center"/>
          </w:tcPr>
          <w:p>
            <w:pPr>
              <w:jc w:val="center"/>
              <w:rPr>
                <w:rFonts w:cs="宋体"/>
              </w:rPr>
            </w:pPr>
            <w:r>
              <w:rPr>
                <w:rFonts w:hint="eastAsia" w:cs="宋体"/>
              </w:rPr>
              <w:t>分类投放</w:t>
            </w:r>
          </w:p>
          <w:p>
            <w:pPr>
              <w:jc w:val="center"/>
              <w:rPr>
                <w:rFonts w:ascii="宋体" w:hAnsi="宋体" w:cs="宋体"/>
              </w:rPr>
            </w:pPr>
            <w:r>
              <w:rPr>
                <w:rFonts w:hint="eastAsia" w:cs="宋体"/>
              </w:rPr>
              <w:t>（</w:t>
            </w:r>
            <w:r>
              <w:rPr>
                <w:rFonts w:hint="eastAsia"/>
              </w:rPr>
              <w:t>9</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ind w:left="210" w:hanging="210" w:hangingChars="100"/>
              <w:rPr>
                <w:rFonts w:ascii="宋体" w:hAnsi="宋体" w:cs="宋体"/>
                <w:color w:val="000000" w:themeColor="text1"/>
              </w:rPr>
            </w:pPr>
            <w:r>
              <w:rPr>
                <w:rFonts w:hint="eastAsia" w:ascii="宋体" w:hAnsi="宋体" w:cs="宋体"/>
                <w:color w:val="000000" w:themeColor="text1"/>
              </w:rPr>
              <w:t>1.按相关标准合理配置垃圾分类容器设施（疫情期间需按防控要求，设置废弃口罩，手套等专用收集容器），得3分。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3</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color w:val="000000" w:themeColor="text1"/>
              </w:rPr>
            </w:pPr>
            <w:r>
              <w:rPr>
                <w:rFonts w:hint="eastAsia" w:ascii="宋体" w:hAnsi="宋体" w:cs="宋体"/>
                <w:color w:val="000000" w:themeColor="text1"/>
              </w:rPr>
              <w:t>2.垃圾集中投放点张贴垃圾分类投放指南，得3分。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rPr>
            </w:pPr>
            <w:r>
              <w:rPr>
                <w:rFonts w:hint="eastAsia"/>
                <w:color w:val="000000" w:themeColor="text1"/>
              </w:rPr>
              <w:t>3</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color w:val="000000" w:themeColor="text1"/>
                <w:szCs w:val="21"/>
              </w:rPr>
            </w:pPr>
            <w:r>
              <w:rPr>
                <w:rFonts w:hint="eastAsia" w:ascii="宋体" w:hAnsi="宋体" w:cs="宋体"/>
                <w:color w:val="000000" w:themeColor="text1"/>
              </w:rPr>
              <w:t>3.全体干部职工按要求分类投放生活垃圾，得3分。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jc w:val="center"/>
        </w:trPr>
        <w:tc>
          <w:tcPr>
            <w:tcW w:w="117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tc>
        <w:tc>
          <w:tcPr>
            <w:tcW w:w="1420" w:type="dxa"/>
            <w:vMerge w:val="restart"/>
            <w:tcBorders>
              <w:top w:val="single" w:color="000000" w:sz="4" w:space="0"/>
              <w:left w:val="single" w:color="000000" w:sz="4" w:space="0"/>
              <w:right w:val="single" w:color="000000" w:sz="4" w:space="0"/>
            </w:tcBorders>
            <w:vAlign w:val="center"/>
          </w:tcPr>
          <w:p>
            <w:pPr>
              <w:jc w:val="center"/>
              <w:rPr>
                <w:rFonts w:cs="宋体"/>
              </w:rPr>
            </w:pPr>
            <w:r>
              <w:rPr>
                <w:rFonts w:hint="eastAsia" w:cs="宋体"/>
              </w:rPr>
              <w:t>分类收运</w:t>
            </w:r>
          </w:p>
          <w:p>
            <w:pPr>
              <w:jc w:val="center"/>
            </w:pPr>
            <w:r>
              <w:rPr>
                <w:rFonts w:hint="eastAsia" w:cs="宋体"/>
              </w:rPr>
              <w:t>（</w:t>
            </w:r>
            <w:r>
              <w:rPr>
                <w:rFonts w:hint="eastAsia"/>
              </w:rPr>
              <w:t>12</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color w:val="000000" w:themeColor="text1"/>
              </w:rPr>
            </w:pPr>
            <w:r>
              <w:rPr>
                <w:rFonts w:hint="eastAsia" w:ascii="宋体" w:hAnsi="宋体" w:cs="宋体"/>
                <w:color w:val="000000" w:themeColor="text1"/>
              </w:rPr>
              <w:t>1.有害垃圾单独存放，与具备处理资质的企业签订收运处置协议，得3分。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c>
          <w:tcPr>
            <w:tcW w:w="935" w:type="dxa"/>
            <w:tcBorders>
              <w:top w:val="single" w:color="000000" w:sz="4" w:space="0"/>
              <w:left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117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color w:val="000000" w:themeColor="text1"/>
              </w:rPr>
            </w:pPr>
            <w:r>
              <w:rPr>
                <w:rFonts w:hint="eastAsia" w:ascii="宋体" w:hAnsi="宋体" w:cs="宋体"/>
                <w:color w:val="000000" w:themeColor="text1"/>
              </w:rPr>
              <w:t>2.可回收物统一回收，与具备回收资质的企业签订收运处置协议，得3分。</w:t>
            </w:r>
          </w:p>
        </w:tc>
        <w:tc>
          <w:tcPr>
            <w:tcW w:w="1191" w:type="dxa"/>
            <w:tcBorders>
              <w:top w:val="single" w:color="000000" w:sz="4" w:space="0"/>
              <w:left w:val="single" w:color="000000" w:sz="4" w:space="0"/>
              <w:right w:val="single" w:color="000000" w:sz="4" w:space="0"/>
            </w:tcBorders>
            <w:vAlign w:val="center"/>
          </w:tcPr>
          <w:p>
            <w:pPr>
              <w:jc w:val="center"/>
            </w:pPr>
            <w:r>
              <w:rPr>
                <w:rFonts w:hint="eastAsia"/>
              </w:rPr>
              <w:t>3</w:t>
            </w:r>
          </w:p>
        </w:tc>
        <w:tc>
          <w:tcPr>
            <w:tcW w:w="935" w:type="dxa"/>
            <w:tcBorders>
              <w:left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117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tc>
        <w:tc>
          <w:tcPr>
            <w:tcW w:w="1420" w:type="dxa"/>
            <w:vMerge w:val="continue"/>
            <w:tcBorders>
              <w:left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rPr>
            </w:pPr>
            <w:r>
              <w:rPr>
                <w:rFonts w:hint="eastAsia" w:ascii="宋体" w:hAnsi="宋体" w:cs="宋体"/>
              </w:rPr>
              <w:t>3.按国家及属地要求规范处理厨余垃圾，得3分。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c>
          <w:tcPr>
            <w:tcW w:w="935" w:type="dxa"/>
            <w:tcBorders>
              <w:left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 w:hRule="atLeast"/>
          <w:jc w:val="center"/>
        </w:trPr>
        <w:tc>
          <w:tcPr>
            <w:tcW w:w="1170" w:type="dxa"/>
            <w:vMerge w:val="continue"/>
            <w:tcBorders>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tc>
        <w:tc>
          <w:tcPr>
            <w:tcW w:w="1420" w:type="dxa"/>
            <w:vMerge w:val="continue"/>
            <w:tcBorders>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rPr>
            </w:pPr>
            <w:r>
              <w:rPr>
                <w:rFonts w:hint="eastAsia" w:ascii="宋体" w:hAnsi="宋体" w:cs="宋体"/>
              </w:rPr>
              <w:t>4.建立垃圾分类清运台账，定期公示垃圾清运量，得3分。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c>
          <w:tcPr>
            <w:tcW w:w="935" w:type="dxa"/>
            <w:tcBorders>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t>5</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rPr>
            </w:pPr>
            <w:r>
              <w:rPr>
                <w:rFonts w:hint="eastAsia" w:ascii="宋体" w:hAnsi="宋体" w:cs="宋体"/>
              </w:rPr>
              <w:t>开展宣传</w:t>
            </w:r>
          </w:p>
          <w:p>
            <w:pPr>
              <w:jc w:val="center"/>
              <w:rPr>
                <w:rFonts w:hint="eastAsia" w:ascii="宋体" w:hAnsi="宋体" w:cs="宋体"/>
              </w:rPr>
            </w:pPr>
            <w:r>
              <w:rPr>
                <w:rFonts w:hint="eastAsia" w:ascii="宋体" w:hAnsi="宋体" w:cs="宋体"/>
              </w:rPr>
              <w:t>教育</w:t>
            </w:r>
          </w:p>
          <w:p>
            <w:pPr>
              <w:jc w:val="center"/>
              <w:rPr>
                <w:rFonts w:ascii="宋体" w:hAnsi="宋体" w:cs="宋体"/>
              </w:rPr>
            </w:pPr>
            <w:r>
              <w:rPr>
                <w:rFonts w:hint="eastAsia" w:ascii="宋体" w:hAnsi="宋体" w:cs="宋体"/>
              </w:rPr>
              <w:t>（15分）</w:t>
            </w: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宣传实践</w:t>
            </w:r>
          </w:p>
          <w:p>
            <w:pPr>
              <w:jc w:val="center"/>
            </w:pPr>
            <w:r>
              <w:rPr>
                <w:rFonts w:hint="eastAsia" w:cs="宋体"/>
              </w:rPr>
              <w:t>（</w:t>
            </w:r>
            <w:r>
              <w:t>11</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ind w:left="210" w:hanging="210" w:hangingChars="100"/>
              <w:rPr>
                <w:rFonts w:ascii="宋体" w:hAnsi="宋体" w:cs="宋体"/>
              </w:rPr>
            </w:pPr>
            <w:r>
              <w:rPr>
                <w:rFonts w:hint="eastAsia" w:ascii="宋体" w:hAnsi="宋体" w:cs="宋体"/>
              </w:rPr>
              <w:t>1.结合全国节能宣传周、全国低碳日、世界水日、中国水日等活动，组织开展形式多样的宣传实践活动，开展1项活动得2分，最高得4分。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4</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ind w:left="210" w:hanging="210" w:hangingChars="100"/>
              <w:rPr>
                <w:rFonts w:ascii="宋体" w:hAnsi="宋体" w:cs="宋体"/>
              </w:rPr>
            </w:pPr>
            <w:r>
              <w:rPr>
                <w:rFonts w:hint="eastAsia" w:ascii="宋体" w:hAnsi="宋体" w:cs="宋体"/>
              </w:rPr>
              <w:t>2.张贴设备节能、随手关灯、节约用水、减少使用电梯、空调温度设定、垃圾分类投放等提醒标识。有1类标识得1分，最高得4分。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4</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rPr>
            </w:pPr>
            <w:r>
              <w:rPr>
                <w:rFonts w:hint="eastAsia" w:ascii="宋体" w:hAnsi="宋体" w:cs="宋体"/>
              </w:rPr>
              <w:t>3.在新闻媒体或主管部门宣传平台报道本单位节约能源资源经验做法，得3分。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教育培训</w:t>
            </w:r>
          </w:p>
          <w:p>
            <w:pPr>
              <w:jc w:val="center"/>
            </w:pPr>
            <w:r>
              <w:rPr>
                <w:rFonts w:hint="eastAsia" w:cs="宋体"/>
              </w:rPr>
              <w:t>（</w:t>
            </w:r>
            <w:r>
              <w:t>4</w:t>
            </w:r>
            <w:r>
              <w:rPr>
                <w:rFonts w:hint="eastAsia" w:cs="宋体"/>
              </w:rPr>
              <w:t>分）</w:t>
            </w:r>
          </w:p>
        </w:tc>
        <w:tc>
          <w:tcPr>
            <w:tcW w:w="7368" w:type="dxa"/>
            <w:tcBorders>
              <w:top w:val="single" w:color="000000" w:sz="4" w:space="0"/>
              <w:left w:val="single" w:color="000000" w:sz="4" w:space="0"/>
              <w:bottom w:val="single" w:color="000000" w:sz="4" w:space="0"/>
              <w:right w:val="single" w:color="000000" w:sz="4" w:space="0"/>
            </w:tcBorders>
            <w:vAlign w:val="center"/>
          </w:tcPr>
          <w:p>
            <w:pPr>
              <w:spacing w:before="31" w:beforeLines="10" w:after="31" w:afterLines="10"/>
              <w:rPr>
                <w:rFonts w:ascii="宋体" w:hAnsi="宋体" w:cs="宋体"/>
              </w:rPr>
            </w:pPr>
            <w:r>
              <w:rPr>
                <w:rFonts w:hint="eastAsia" w:ascii="宋体" w:hAnsi="宋体" w:cs="宋体"/>
              </w:rPr>
              <w:t>1.将节能、节水、垃圾分类等内容纳入干部职工培训体系，得2分。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jc w:val="center"/>
        </w:trPr>
        <w:tc>
          <w:tcPr>
            <w:tcW w:w="117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tc>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368" w:type="dxa"/>
            <w:tcBorders>
              <w:top w:val="single" w:color="000000" w:sz="4" w:space="0"/>
              <w:left w:val="single" w:color="000000" w:sz="4" w:space="0"/>
              <w:bottom w:val="single" w:color="000000" w:sz="4" w:space="0"/>
              <w:right w:val="single" w:color="000000" w:sz="4" w:space="0"/>
            </w:tcBorders>
            <w:vAlign w:val="center"/>
          </w:tcPr>
          <w:p>
            <w:pPr>
              <w:ind w:left="210" w:hanging="210" w:hangingChars="100"/>
              <w:rPr>
                <w:rFonts w:ascii="宋体" w:hAnsi="宋体" w:cs="宋体"/>
              </w:rPr>
            </w:pPr>
            <w:r>
              <w:rPr>
                <w:rFonts w:hint="eastAsia" w:ascii="宋体" w:hAnsi="宋体" w:cs="宋体"/>
              </w:rPr>
              <w:t>2.定期举办面向干部职工的节能低碳等生态文明建设知识讲座、岗位培训等教育培训活动，得2分。</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jc w:val="center"/>
        </w:trPr>
        <w:tc>
          <w:tcPr>
            <w:tcW w:w="117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总分</w:t>
            </w:r>
          </w:p>
        </w:tc>
        <w:tc>
          <w:tcPr>
            <w:tcW w:w="1020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w:t>
            </w:r>
            <w:r>
              <w:t>00</w:t>
            </w:r>
          </w:p>
        </w:tc>
        <w:tc>
          <w:tcPr>
            <w:tcW w:w="935" w:type="dxa"/>
            <w:tcBorders>
              <w:top w:val="single" w:color="000000" w:sz="4" w:space="0"/>
              <w:left w:val="single" w:color="000000" w:sz="4" w:space="0"/>
              <w:bottom w:val="single" w:color="000000" w:sz="4" w:space="0"/>
              <w:right w:val="single" w:color="000000" w:sz="4" w:space="0"/>
            </w:tcBorders>
          </w:tcPr>
          <w:p>
            <w:pPr>
              <w:jc w:val="center"/>
            </w:pPr>
          </w:p>
        </w:tc>
      </w:tr>
    </w:tbl>
    <w:p>
      <w:pPr>
        <w:keepNext w:val="0"/>
        <w:keepLines w:val="0"/>
        <w:pageBreakBefore w:val="0"/>
        <w:widowControl w:val="0"/>
        <w:kinsoku/>
        <w:wordWrap/>
        <w:overflowPunct/>
        <w:topLinePunct w:val="0"/>
        <w:autoSpaceDE/>
        <w:autoSpaceDN/>
        <w:bidi w:val="0"/>
        <w:adjustRightInd/>
        <w:snapToGrid/>
        <w:spacing w:before="157" w:beforeLines="50"/>
        <w:ind w:firstLine="210" w:firstLineChars="100"/>
        <w:jc w:val="left"/>
        <w:textAlignment w:val="auto"/>
        <w:outlineLvl w:val="9"/>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lang w:eastAsia="zh-CN"/>
        </w:rPr>
        <w:t>备</w:t>
      </w:r>
      <w:r>
        <w:rPr>
          <w:rFonts w:hint="eastAsia" w:ascii="方正楷体简体" w:hAnsi="方正楷体简体" w:eastAsia="方正楷体简体" w:cs="方正楷体简体"/>
          <w:szCs w:val="21"/>
        </w:rPr>
        <w:t>注：1.本标准适用于全省党政机关，计分标准满分为100分，累计得分在85分（含）以上的机关，可以申创节约型机关；</w:t>
      </w:r>
    </w:p>
    <w:p>
      <w:pPr>
        <w:ind w:firstLine="840" w:firstLineChars="400"/>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szCs w:val="21"/>
        </w:rPr>
        <w:t>2.各项指标证明材料均为单位近一年的工作情况。</w:t>
      </w:r>
    </w:p>
    <w:sectPr>
      <w:pgSz w:w="16838" w:h="11906" w:orient="landscape"/>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144F0384"/>
    <w:rsid w:val="00051863"/>
    <w:rsid w:val="00065AF4"/>
    <w:rsid w:val="00070BA0"/>
    <w:rsid w:val="00074747"/>
    <w:rsid w:val="000B7628"/>
    <w:rsid w:val="00134B21"/>
    <w:rsid w:val="001D3CDE"/>
    <w:rsid w:val="001F0C38"/>
    <w:rsid w:val="00216F23"/>
    <w:rsid w:val="00231AEB"/>
    <w:rsid w:val="00231BFE"/>
    <w:rsid w:val="002344BB"/>
    <w:rsid w:val="00237E2D"/>
    <w:rsid w:val="00244F7F"/>
    <w:rsid w:val="00264058"/>
    <w:rsid w:val="002E6548"/>
    <w:rsid w:val="003C3F47"/>
    <w:rsid w:val="003D6072"/>
    <w:rsid w:val="003F61BD"/>
    <w:rsid w:val="00414C86"/>
    <w:rsid w:val="00450062"/>
    <w:rsid w:val="00470173"/>
    <w:rsid w:val="004C37D2"/>
    <w:rsid w:val="004F6EEA"/>
    <w:rsid w:val="005120ED"/>
    <w:rsid w:val="005130CB"/>
    <w:rsid w:val="0057429A"/>
    <w:rsid w:val="005814B2"/>
    <w:rsid w:val="005F0D98"/>
    <w:rsid w:val="0063488E"/>
    <w:rsid w:val="006417B0"/>
    <w:rsid w:val="006C0F45"/>
    <w:rsid w:val="006C5D5E"/>
    <w:rsid w:val="006E1626"/>
    <w:rsid w:val="006E33D1"/>
    <w:rsid w:val="0075341C"/>
    <w:rsid w:val="007F0985"/>
    <w:rsid w:val="00801634"/>
    <w:rsid w:val="00853197"/>
    <w:rsid w:val="00922527"/>
    <w:rsid w:val="00962BB8"/>
    <w:rsid w:val="00977BF1"/>
    <w:rsid w:val="009C36E5"/>
    <w:rsid w:val="009E77CB"/>
    <w:rsid w:val="00A15AE3"/>
    <w:rsid w:val="00A377E2"/>
    <w:rsid w:val="00AC218C"/>
    <w:rsid w:val="00AD4662"/>
    <w:rsid w:val="00AE40C5"/>
    <w:rsid w:val="00B13756"/>
    <w:rsid w:val="00B70B43"/>
    <w:rsid w:val="00C00D7B"/>
    <w:rsid w:val="00C10D08"/>
    <w:rsid w:val="00D12847"/>
    <w:rsid w:val="00D515FF"/>
    <w:rsid w:val="00D86A83"/>
    <w:rsid w:val="00E361F0"/>
    <w:rsid w:val="00E37841"/>
    <w:rsid w:val="00E46F76"/>
    <w:rsid w:val="00F51407"/>
    <w:rsid w:val="00F57E4A"/>
    <w:rsid w:val="00FE7FE1"/>
    <w:rsid w:val="069948A8"/>
    <w:rsid w:val="0F0E2EEF"/>
    <w:rsid w:val="144F0384"/>
    <w:rsid w:val="368B20A7"/>
    <w:rsid w:val="41840964"/>
    <w:rsid w:val="5F992883"/>
    <w:rsid w:val="72B0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282</Words>
  <Characters>1612</Characters>
  <Lines>13</Lines>
  <Paragraphs>3</Paragraphs>
  <TotalTime>1</TotalTime>
  <ScaleCrop>false</ScaleCrop>
  <LinksUpToDate>false</LinksUpToDate>
  <CharactersWithSpaces>1891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2020-04-16T01:55:00Z</dcterms:created>
  <dc:creator>Administrator</dc:creator>
  <cp:lastModifiedBy>Administrator</cp:lastModifiedBy>
  <cp:lastPrinted>2020-05-15T06:48:00Z</cp:lastPrinted>
  <dcterms:modified xsi:type="dcterms:W3CDTF">2020-05-19T06:11:40Z</dcterms:modified>
  <dc:title>节约型机关评分表</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